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4A4D" w:rsidRPr="00334A4D" w:rsidTr="00334A4D">
        <w:tc>
          <w:tcPr>
            <w:tcW w:w="8644" w:type="dxa"/>
          </w:tcPr>
          <w:p w:rsidR="00334A4D" w:rsidRPr="00334A4D" w:rsidRDefault="00334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b/>
                <w:sz w:val="28"/>
                <w:szCs w:val="28"/>
              </w:rPr>
              <w:t>Estado de Santa Catarina</w:t>
            </w:r>
          </w:p>
          <w:p w:rsidR="00334A4D" w:rsidRPr="00334A4D" w:rsidRDefault="00334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FUNDO MUNICIPAL DE SAÚDE DE IRATI</w:t>
            </w:r>
          </w:p>
        </w:tc>
      </w:tr>
    </w:tbl>
    <w:p w:rsidR="00A7334B" w:rsidRDefault="00334A4D" w:rsidP="00334A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4A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 V I S O</w:t>
      </w:r>
      <w:proofErr w:type="gramStart"/>
      <w:r w:rsidRPr="00334A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proofErr w:type="gramEnd"/>
      <w:r w:rsidRPr="00334A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 E   L I C I T A Ç Ã O</w:t>
      </w:r>
    </w:p>
    <w:p w:rsidR="0003611C" w:rsidRPr="00334A4D" w:rsidRDefault="0003611C" w:rsidP="00334A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 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 T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4A4D" w:rsidRPr="00334A4D" w:rsidTr="00334A4D">
        <w:tc>
          <w:tcPr>
            <w:tcW w:w="8644" w:type="dxa"/>
          </w:tcPr>
          <w:p w:rsidR="00044A7C" w:rsidRDefault="00044A7C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CHAVE TCE/SC: </w:t>
            </w:r>
            <w:r w:rsidR="008718BE" w:rsidRPr="008718BE">
              <w:rPr>
                <w:rFonts w:ascii="Times New Roman" w:hAnsi="Times New Roman" w:cs="Times New Roman"/>
                <w:sz w:val="24"/>
                <w:szCs w:val="24"/>
              </w:rPr>
              <w:t>5FAD164DA2B6BCC9F0C52E92D592121365ED4280</w:t>
            </w:r>
          </w:p>
          <w:p w:rsid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Processo Adm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inistrativo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 Nº 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E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3AD6" w:rsidRPr="00334A4D" w:rsidRDefault="00C23AD6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Processo Licitatório Nº 0</w:t>
            </w:r>
            <w:r w:rsidR="001F7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0090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E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4A4D" w:rsidRP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Edital: 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Pregão Presencial </w:t>
            </w:r>
            <w:r w:rsidR="000454A7">
              <w:rPr>
                <w:rFonts w:ascii="Times New Roman" w:hAnsi="Times New Roman" w:cs="Times New Roman"/>
                <w:sz w:val="28"/>
                <w:szCs w:val="28"/>
              </w:rPr>
              <w:t>Nº 0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54A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3611C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Tipo: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 xml:space="preserve"> MENOR PREÇO POR I</w:t>
            </w:r>
            <w:r w:rsidR="00F930E8">
              <w:rPr>
                <w:rFonts w:ascii="Times New Roman" w:hAnsi="Times New Roman" w:cs="Times New Roman"/>
                <w:sz w:val="28"/>
                <w:szCs w:val="28"/>
              </w:rPr>
              <w:t>TEM</w:t>
            </w:r>
          </w:p>
          <w:p w:rsidR="0003611C" w:rsidRPr="0003611C" w:rsidRDefault="0003611C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61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ONDE SE LÊ:</w:t>
            </w:r>
          </w:p>
          <w:p w:rsidR="00295900" w:rsidRDefault="00334A4D" w:rsidP="0029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Objeto</w:t>
            </w:r>
            <w:r w:rsidR="00413C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5900">
              <w:rPr>
                <w:rFonts w:ascii="Times New Roman" w:hAnsi="Times New Roman" w:cs="Times New Roman"/>
                <w:b/>
                <w:sz w:val="28"/>
                <w:szCs w:val="28"/>
              </w:rPr>
              <w:t>AQUISIÇÃO DE UMA CÂMARA REFRIGERADA EXCLUSIVA, PARA CONSERVAÇÃO DE IMUNOBIOLÓGICOS, HEMODERIVADOS E TERMOLÁBEIS, REGULARIZADA PERANTE A ANVISA (RDC 34 e RDC 197), NOVA, 220 VOLTS, CAPACIDADE DE NO MÍNIMO 340 LITROS ÚTEIS SISTEMA DE EMERGÊNCIA COM AUTONOMIA DE 24 HORAS, TEMPERATUVA 2ºC A 8ºC, PARA O POSTO DE SAÚDE DA SEDE DE IRATI/SC, COM AS SEGUINTES CARACTERÍSTICAS:</w:t>
            </w:r>
          </w:p>
          <w:p w:rsidR="004C6872" w:rsidRDefault="00295900" w:rsidP="0029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8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GABINETE EXTERNO: tipo vertical, construído em chapas de aço inoxidável escovado.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Montado sobre chassi metálico e rodízios giratórios traváveis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2. GABINETE INTERNO: Construído totalmente em chapa de aço inoxidável, dotado de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(cinco) prateleiras em aço inoxidável, com perfuração hermética e regulagem de altura; 3. ILUMINAÇÃO INTERNA: Através de lâmpadas LED com acionamento automático na abertura da porta, temporizada com acionamento externo com a porta fechada;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ISOLAMENTO TÉRMICO: em poliuretano injetado de alta densidade, com espessura mínima de 70 mm;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HOMOGENEIZAÇÃO DE TEMPERATURA: Através de ventilador da unidade de ar forçado, com desligamento na abertura da porta;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PORTA: Vertical de vidro triplo, com sistema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antiembaçante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vedação através de perfil magnético;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REFRIGERAÇÃO: Através de compressor hermético, com circulação de gás ecológico R-134 A isento de CFC, unidade evaporadora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aletada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tipo “ar forçado”. Sistema de degelo automático seco com evaporação do condensado;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PAINEL DE COMANDO: Montado na parte superior da câmara com chave geral, fusíveis de proteção na parte posterior e painel frontal do tipo membrana com teclas soft-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Display em LCD com apresentação simultânea das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temperatuvas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momento, temperatura mínima e máxima atingidas, ajuste dos parâmetros, sistema de verificação automática da programação, sistema de travamento da programação contra manuseio inadvertido,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sistema que restabelece os parâmetros programados mesmo com variação brusca da energia ou desligamento do equipamento, filtro contra ruídos eletromagnéticos, com apresentação de data e horário. Dotado de sensores tipo NTC;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ALARMES: Temperatura abaixo de 2ºC, temperatura alta acima de 8ºC (ou programável pelo usuário), falta de energia elétrica, porta aberta, com tecla de inibição para silenciar 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buzzer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por 15 minutos; 10. FAIXA DE TRABALHO: Entre 2ºC e 8ºC, com ponto fixo em 4ºC, ou programável pelo usuário; 11. REGISTRADOR DE TEMPERATURA: Registrador eletrônico das temperaturas mínima e máximas atingidas, apresentadas no display de processos; 12. SOFTWARE DE GERENCIAMENTO: Aplicativo para gerenciamento que emite relatórios e gráficos de desempenho, inclusive retroativos, permitindo o gerenciamento da câmara via internet, acesso via computador,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tablet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ou celular. Permite suporte técnico remoto para ajustes de programação e configuração. Os dados armazenados são criptografados (invioláveis). SEM COBRANÇA DE MENSALIDADE; 13. SISTEMA DE SEGURANÇA: termostato instalado em paralelo ao controlador eletrônico da câmara, assumindo automaticamente o controle das funções de comando do compressor de frio sempre que houver falha no comando eletrônico; 14. DISCADOR: Sistema automático que realiza ligações telefônicas via central telefônica ou linha fixa direta, para até seis números (celulares ou fixos) sempre que o equipamento alarmar por temperatura CRÍTICA; 15. SISTEMA DE EMERGÊNCIA PARA FALTA DE ENERGIA ELÉTRICA 24 HORAS: Através de conversos 12 volts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para 220 volts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mantendo todas as funções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eletro-eletrônicas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inclusive o compressor de frio, com autonomia para até 24 horas. Integrado ao gabinete, montado na parte inferior da câmara, com gaveta para a bateria selada; 16. PHASELOG: Controlador da tensão elétrica, monitora e aciona o sistema de emergência caso ocorra instabilidade da energia elétrica. Emite dados de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performance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via software de gerenciamento; 17. CAPACIDADE INTERNA: 340 litros; 18. FUNCIONAMENTO: Bivolt 127/220 volts 50/60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hz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(selecionável através de chave seletora de voltagem); 19. GARANTIA: 12 (doze) meses contra qualquer defeito de fabricação.</w:t>
            </w:r>
          </w:p>
          <w:p w:rsidR="0003611C" w:rsidRDefault="0003611C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61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LEIA-</w:t>
            </w:r>
            <w:proofErr w:type="gramStart"/>
            <w:r w:rsidRPr="000361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SÊ</w:t>
            </w:r>
            <w:proofErr w:type="gramEnd"/>
            <w:r w:rsidRPr="000361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3611C" w:rsidRDefault="0003611C" w:rsidP="00036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Objeto: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AQUISIÇÃO DE UMA CÂMARA REFRIGERADA EXCLUSIVA, PARA CONSERVAÇÃO DE IMUNOBIOLÓGICOS, HEMODERIVADOS E TERMOLÁBEIS, REGULARIZADA PERANTE A ANVISA</w:t>
            </w:r>
            <w:r w:rsidR="004C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(RDC 34 e RDC 197)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NOVA, 220 VOLTS, CAPACIDADE DE NO MÍNIMO 340 LITROS ÚTEIS</w:t>
            </w:r>
            <w:r w:rsidR="004C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SISTEMA DE EMERGÊNCIA COM AUTONOMIA DE 24 HORAS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C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TEMPERATUVA 2ºC A 8ºC, PARA O POSTO DE SAÚDE DA </w:t>
            </w:r>
            <w:r w:rsidR="004C68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SEDE DE IRATI/SC, COM AS SEGUINTES CARACTERÍSTICAS:</w:t>
            </w:r>
          </w:p>
          <w:p w:rsidR="004C6872" w:rsidRDefault="004C6872" w:rsidP="004C6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8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GABINETE EXTERNO: tipo vertical, </w:t>
            </w:r>
            <w:r w:rsidR="00295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construído em chapas de aço tratado quimicamente com pintura epóxi de alta temperatura ou aço inoxidável escovado;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GABINETE INTERNO: Construído totalmente em chapa de aço inoxidável, dotado de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(cinco) prateleiras em aço inoxidável, com perfuração hermética e regulagem de altura; 3. ILUMINAÇÃO INTERNA: Através de lâmpadas LED com acionamento automático na abertura da porta, temporizada com acionamento externo com a porta fechada;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ISOLAMENTO TÉRMICO: </w:t>
            </w:r>
            <w:r w:rsidR="00E649AA">
              <w:rPr>
                <w:rFonts w:ascii="Times New Roman" w:hAnsi="Times New Roman" w:cs="Times New Roman"/>
                <w:b/>
                <w:sz w:val="28"/>
                <w:szCs w:val="28"/>
              </w:rPr>
              <w:t>isolamento em poliuretano injetado de alta densidade com espessura mínima de 40 mm;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HOMOGENEIZAÇÃO DE TEMPERATURA: Através de ventilador da unidade de ar forçado, com desligamento na abertura da porta;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PORTA: Vertical de vidro triplo, com sistema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antiembaçante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vedação através de perfil magnético;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REFRIGERAÇÃO: Através de compressor hermético, com circulação de gás ecológico R-134 A isento de CFC, unidade evaporadora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aletada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tipo “ar forçado”. Sistema de degelo automático seco com evaporação do condensado;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PAINEL DE COMANDO: Montado na parte superior da câmara com chave geral, fusíveis de proteção na parte posterior e painel frontal do tipo membrana com teclas soft-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Display em LCD com aprese</w:t>
            </w:r>
            <w:r w:rsidR="00584E06">
              <w:rPr>
                <w:rFonts w:ascii="Times New Roman" w:hAnsi="Times New Roman" w:cs="Times New Roman"/>
                <w:b/>
                <w:sz w:val="28"/>
                <w:szCs w:val="28"/>
              </w:rPr>
              <w:t>ntação simultânea das temperatur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 de momento, temperatura mínima e máxima atingidas, ajuste dos parâmetros, sistema de verificação automática da programação, sistema de travamento da programação contra manuseio inadvertido</w:t>
            </w:r>
            <w:r w:rsidR="0038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sistema que restabelece os parâmetros programados mesmo com variação brusca da energia ou desligamento do equipamento, filtro contra ruídos eletromagnéticos, com apresentação de data e horário. Dotado de sensores tipo NTC; </w:t>
            </w:r>
            <w:proofErr w:type="gramStart"/>
            <w:r w:rsidR="00381A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="0038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ALARMES: Temperatura abaixo de 2ºC, temperatura alta acima de 8ºC (ou programável pelo usuário), falta de energia elétrica, porta aberta, com tecla de inibição para silenciar o </w:t>
            </w:r>
            <w:proofErr w:type="spellStart"/>
            <w:r w:rsidR="00381A2B">
              <w:rPr>
                <w:rFonts w:ascii="Times New Roman" w:hAnsi="Times New Roman" w:cs="Times New Roman"/>
                <w:b/>
                <w:sz w:val="28"/>
                <w:szCs w:val="28"/>
              </w:rPr>
              <w:t>buzzer</w:t>
            </w:r>
            <w:proofErr w:type="spellEnd"/>
            <w:r w:rsidR="0038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por 15 minutos; 10. FAIXA DE TRABALHO: Entre 2ºC e 8ºC, com ponto fixo em 4ºC, ou programável pelo usuário; 11. REGISTRADOR DE TEMPERATURA: Registrador eletrônico das temperaturas mínima e máximas atingidas, apresentadas no display de processos; 12. SOFTWARE DE GERENCIAMENTO: Aplicativo para gerenciamento que emite relatórios e gráficos de desempenho, inclusive retroativos, permitindo o gerenciamento da câmara via internet, acesso via computador, </w:t>
            </w:r>
            <w:proofErr w:type="spellStart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tablet</w:t>
            </w:r>
            <w:proofErr w:type="spellEnd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</w:t>
            </w:r>
            <w:r w:rsidR="00381A2B">
              <w:rPr>
                <w:rFonts w:ascii="Times New Roman" w:hAnsi="Times New Roman" w:cs="Times New Roman"/>
                <w:b/>
                <w:sz w:val="28"/>
                <w:szCs w:val="28"/>
              </w:rPr>
              <w:t>u celular. Permite suporte técnico remoto para ajustes</w:t>
            </w:r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programação e configuração. Os dados armazenados são criptografados (invioláveis). SEM COBRANÇA DE MENSALIDADE; 13. SISTEMA DE SEGURANÇA: termostato instalado em paralelo ao controlador eletrônico da câmara, assumindo </w:t>
            </w:r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automaticamente o controle das funções de comando do compressor de frio sempre que houver falha no comando eletrônico; 14. DISCADOR: Sistema automático que realiza ligações telefônicas via central telefônica ou linha fixa direta, para até seis números (celulares ou fixos) sempre que o equipamento alarmar por temperatura CRÍTICA; 15. SISTEMA DE EMERGÊNCIA PARA FALTA DE ENERGIA ELÉTRICA 24 HORAS: Através de conversos 12 volts (</w:t>
            </w:r>
            <w:proofErr w:type="spellStart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cc</w:t>
            </w:r>
            <w:proofErr w:type="spellEnd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) para 220 volts (</w:t>
            </w:r>
            <w:proofErr w:type="gramStart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ac</w:t>
            </w:r>
            <w:proofErr w:type="gramEnd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mantendo todas as funções </w:t>
            </w:r>
            <w:proofErr w:type="spellStart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eletro-eletrônicas</w:t>
            </w:r>
            <w:proofErr w:type="spellEnd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inclusive o compressor de frio, com autonomia para até 24 horas. Integrado ao gabinete, montado na parte inferior da câmara, com gaveta para a bateria selada; 16. PHASELOG: Controlador da tensão elétrica, monitora e aciona o sistema de emergência caso ocorra instabilidade da energia elétrica. Emite dados de </w:t>
            </w:r>
            <w:proofErr w:type="gramStart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performance</w:t>
            </w:r>
            <w:proofErr w:type="gramEnd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via software de gerenciamento; 17. CAPACIDADE INTERNA: 340 litros; 18. FUNCIONAMENTO: Bivolt 127/220 volts 50/60 </w:t>
            </w:r>
            <w:proofErr w:type="spellStart"/>
            <w:proofErr w:type="gramStart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>hz</w:t>
            </w:r>
            <w:proofErr w:type="spellEnd"/>
            <w:proofErr w:type="gramEnd"/>
            <w:r w:rsidR="0052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(selecionável através de chave seletora de voltagem); 19. GARANTIA: 12 (doze) meses contra qualquer defeito de fabricação.</w:t>
            </w:r>
          </w:p>
          <w:p w:rsidR="00521C1E" w:rsidRPr="004C6872" w:rsidRDefault="00521C1E" w:rsidP="004C6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. .</w:t>
            </w:r>
          </w:p>
          <w:p w:rsidR="0003611C" w:rsidRPr="008922AD" w:rsidRDefault="008922AD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2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ONDE SE LÊ:</w:t>
            </w:r>
          </w:p>
          <w:p w:rsidR="00334A4D" w:rsidRP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Entrega dos Envelopes:</w:t>
            </w:r>
            <w:r w:rsidR="00B3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1C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521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 do dia </w:t>
            </w:r>
            <w:r w:rsidR="002959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7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Abertura dos Envelopes: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1C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521C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 do dia </w:t>
            </w:r>
            <w:r w:rsidR="002959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7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090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E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AD" w:rsidRDefault="008922AD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2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LEIA-</w:t>
            </w:r>
            <w:proofErr w:type="gramStart"/>
            <w:r w:rsidRPr="00892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SÊ</w:t>
            </w:r>
            <w:proofErr w:type="gramEnd"/>
            <w:r w:rsidRPr="00892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8922AD" w:rsidRPr="00334A4D" w:rsidRDefault="008922AD" w:rsidP="00892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Entrega dos Envelopes: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08h: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30min do dia </w:t>
            </w:r>
            <w:r w:rsidR="00295900">
              <w:rPr>
                <w:rFonts w:ascii="Times New Roman" w:hAnsi="Times New Roman" w:cs="Times New Roman"/>
                <w:sz w:val="28"/>
                <w:szCs w:val="28"/>
              </w:rPr>
              <w:t>09/06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/2022.</w:t>
            </w:r>
          </w:p>
          <w:p w:rsidR="008922AD" w:rsidRDefault="008922AD" w:rsidP="00892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Abertura dos Envelopes: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09h: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00min do dia </w:t>
            </w:r>
            <w:r w:rsidR="00295900">
              <w:rPr>
                <w:rFonts w:ascii="Times New Roman" w:hAnsi="Times New Roman" w:cs="Times New Roman"/>
                <w:sz w:val="28"/>
                <w:szCs w:val="28"/>
              </w:rPr>
              <w:t>09/06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/2022.</w:t>
            </w:r>
          </w:p>
          <w:p w:rsidR="008922AD" w:rsidRDefault="008922AD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922AD" w:rsidRPr="008922AD" w:rsidRDefault="008922AD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4A4D" w:rsidRDefault="008922AD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2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 DEMAIS CLÁUSULAS PERMANECEM INALTERADAS.</w:t>
            </w:r>
          </w:p>
          <w:p w:rsidR="008922AD" w:rsidRPr="008922AD" w:rsidRDefault="008922AD" w:rsidP="00334A4D">
            <w:pPr>
              <w:jc w:val="both"/>
              <w:rPr>
                <w:rStyle w:val="Hyperlink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568" w:rsidRPr="00334A4D" w:rsidRDefault="00334568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Irati – SC, </w:t>
            </w:r>
            <w:r w:rsidR="002959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093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8922AD">
              <w:rPr>
                <w:rFonts w:ascii="Times New Roman" w:hAnsi="Times New Roman" w:cs="Times New Roman"/>
                <w:sz w:val="28"/>
                <w:szCs w:val="28"/>
              </w:rPr>
              <w:t>maio</w:t>
            </w:r>
            <w:r w:rsidR="00D80090">
              <w:rPr>
                <w:rFonts w:ascii="Times New Roman" w:hAnsi="Times New Roman" w:cs="Times New Roman"/>
                <w:sz w:val="28"/>
                <w:szCs w:val="28"/>
              </w:rPr>
              <w:t xml:space="preserve"> de 20</w:t>
            </w:r>
            <w:r w:rsidR="00FE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568" w:rsidRDefault="00334568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87" w:rsidRDefault="00BC2A87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0" w:rsidRPr="00D80090" w:rsidRDefault="00D80090" w:rsidP="00A82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0">
              <w:rPr>
                <w:rFonts w:ascii="Times New Roman" w:hAnsi="Times New Roman" w:cs="Times New Roman"/>
                <w:b/>
                <w:sz w:val="28"/>
                <w:szCs w:val="28"/>
              </w:rPr>
              <w:t>MARCOS HENRIQUE KEHL</w:t>
            </w:r>
          </w:p>
          <w:p w:rsidR="00334A4D" w:rsidRPr="00334A4D" w:rsidRDefault="00D80090" w:rsidP="00A82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0">
              <w:rPr>
                <w:rFonts w:ascii="Times New Roman" w:hAnsi="Times New Roman" w:cs="Times New Roman"/>
                <w:b/>
                <w:sz w:val="28"/>
                <w:szCs w:val="28"/>
              </w:rPr>
              <w:t>Gestor do Fundo Municipal de Saúde</w:t>
            </w:r>
          </w:p>
        </w:tc>
      </w:tr>
    </w:tbl>
    <w:p w:rsidR="00334A4D" w:rsidRPr="00334A4D" w:rsidRDefault="00334A4D" w:rsidP="00334A4D">
      <w:pPr>
        <w:rPr>
          <w:rFonts w:ascii="Times New Roman" w:hAnsi="Times New Roman" w:cs="Times New Roman"/>
          <w:sz w:val="28"/>
          <w:szCs w:val="28"/>
        </w:rPr>
      </w:pPr>
    </w:p>
    <w:sectPr w:rsidR="00334A4D" w:rsidRPr="00334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9A"/>
    <w:multiLevelType w:val="hybridMultilevel"/>
    <w:tmpl w:val="BD4EE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D"/>
    <w:rsid w:val="00030951"/>
    <w:rsid w:val="0003611C"/>
    <w:rsid w:val="00044A7C"/>
    <w:rsid w:val="000454A7"/>
    <w:rsid w:val="00075922"/>
    <w:rsid w:val="001F7CDF"/>
    <w:rsid w:val="00295900"/>
    <w:rsid w:val="00334568"/>
    <w:rsid w:val="00334A4D"/>
    <w:rsid w:val="00381A2B"/>
    <w:rsid w:val="0038761D"/>
    <w:rsid w:val="00413CA3"/>
    <w:rsid w:val="0044010E"/>
    <w:rsid w:val="00482FEB"/>
    <w:rsid w:val="004C6872"/>
    <w:rsid w:val="00521C1E"/>
    <w:rsid w:val="00584E06"/>
    <w:rsid w:val="005B7CEF"/>
    <w:rsid w:val="0071095E"/>
    <w:rsid w:val="0076617D"/>
    <w:rsid w:val="007F3EFF"/>
    <w:rsid w:val="008718BE"/>
    <w:rsid w:val="008922AD"/>
    <w:rsid w:val="008C0BF3"/>
    <w:rsid w:val="00974F76"/>
    <w:rsid w:val="00982FBB"/>
    <w:rsid w:val="00987FD8"/>
    <w:rsid w:val="00A7334B"/>
    <w:rsid w:val="00A82659"/>
    <w:rsid w:val="00AB2B15"/>
    <w:rsid w:val="00AB5A0C"/>
    <w:rsid w:val="00B37AA2"/>
    <w:rsid w:val="00B77541"/>
    <w:rsid w:val="00BC2A87"/>
    <w:rsid w:val="00BE28D7"/>
    <w:rsid w:val="00BE5E40"/>
    <w:rsid w:val="00C23AD6"/>
    <w:rsid w:val="00C40933"/>
    <w:rsid w:val="00D75B6A"/>
    <w:rsid w:val="00D80090"/>
    <w:rsid w:val="00E649AA"/>
    <w:rsid w:val="00F930E8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4A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4A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2022-05-26T20:05:00Z</dcterms:created>
  <dcterms:modified xsi:type="dcterms:W3CDTF">2022-05-26T20:05:00Z</dcterms:modified>
</cp:coreProperties>
</file>