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42" w:rsidRDefault="00991042" w:rsidP="0099104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991042" w:rsidRDefault="00991042" w:rsidP="0099104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991042" w:rsidRDefault="00991042" w:rsidP="0099104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991042" w:rsidRDefault="00991042" w:rsidP="0099104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991042" w:rsidRDefault="00991042" w:rsidP="0099104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42" w:rsidRDefault="00991042" w:rsidP="00991042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PROFESSOR DE EDUCAÇÃO ESPECIAL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0xLA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">
                <v:textbox>
                  <w:txbxContent>
                    <w:p w:rsidR="00991042" w:rsidRDefault="00991042" w:rsidP="00991042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PROFESSOR DE EDUCAÇÃO ESPECIAL</w:t>
                      </w:r>
                    </w:p>
                  </w:txbxContent>
                </v:textbox>
              </v:rect>
            </w:pict>
          </mc:Fallback>
        </mc:AlternateContent>
      </w:r>
    </w:p>
    <w:p w:rsidR="00991042" w:rsidRDefault="00991042" w:rsidP="0099104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1042" w:rsidRDefault="00991042" w:rsidP="0099104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1042" w:rsidRDefault="00991042" w:rsidP="0099104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1042" w:rsidRDefault="00991042" w:rsidP="0099104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1042" w:rsidRDefault="00991042" w:rsidP="0099104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991042" w:rsidRDefault="00991042" w:rsidP="00991042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991042" w:rsidRDefault="00991042" w:rsidP="0099104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991042" w:rsidRDefault="00991042" w:rsidP="0099104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991042" w:rsidRDefault="00991042" w:rsidP="0099104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991042" w:rsidRDefault="00991042" w:rsidP="0099104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991042" w:rsidRDefault="00991042" w:rsidP="0099104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991042" w:rsidRDefault="00991042" w:rsidP="00991042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991042" w:rsidRDefault="00991042" w:rsidP="00991042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991042" w:rsidRDefault="00991042" w:rsidP="00991042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991042" w:rsidRDefault="00991042" w:rsidP="0099104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991042" w:rsidRDefault="00991042" w:rsidP="0099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91042" w:rsidTr="00991042">
        <w:trPr>
          <w:trHeight w:val="96"/>
        </w:trPr>
        <w:tc>
          <w:tcPr>
            <w:tcW w:w="9783" w:type="dxa"/>
          </w:tcPr>
          <w:p w:rsidR="00991042" w:rsidRDefault="0099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91042" w:rsidRDefault="00991042" w:rsidP="00991042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01 - ”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Os olhos de menina e a boca </w:t>
      </w:r>
      <w:r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circulados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de brilho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.” Em relação à palavra sublinhada na frase anterior: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Está empregada erroneamente no plural.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É uma locução adverbial de intensidade.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concordância está correta, pois o adjetivo vem posposto aos substantivos.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Deveria estar empregada no feminino e não no masculino plural.</w:t>
      </w:r>
    </w:p>
    <w:p w:rsidR="00991042" w:rsidRDefault="00991042" w:rsidP="0099104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Há erro de concordância, pois o adjetivo deveria vir anteposto aos substantivos.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02 - Em relação à colocação pronominal: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1-A menina nunca lhe mandou bilhetes.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2-Após a apresentação, mande-lhe um abraço.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3-Viram 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mandar-lhe uma carta.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Todas estão corretas.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 2 estão corretas.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Tirinha para as questões 03 a 05: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400675" cy="1924050"/>
            <wp:effectExtent l="0" t="0" r="9525" b="0"/>
            <wp:docPr id="1" name="Imagem 1" descr="Descrição: Descrição: Descrição: Resultado de imagem para figuras de linguagem pleonasmo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Resultado de imagem para figuras de linguagem pleonasmo imag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42" w:rsidRDefault="00991042" w:rsidP="00991042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Disponível em: </w:t>
      </w:r>
      <w:hyperlink r:id="rId8" w:history="1">
        <w:r>
          <w:rPr>
            <w:rStyle w:val="Hyperlink"/>
            <w:rFonts w:ascii="Times New Roman" w:eastAsiaTheme="minorHAnsi" w:hAnsi="Times New Roman"/>
            <w:i/>
            <w:color w:val="auto"/>
            <w:sz w:val="24"/>
            <w:szCs w:val="24"/>
            <w:u w:val="none"/>
            <w:lang w:eastAsia="en-US"/>
          </w:rPr>
          <w:t>www.todamateria.com.br</w:t>
        </w:r>
      </w:hyperlink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Acesso: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04/01/2019.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03 -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Em relação a frase expressa no primeiro quadrinho: 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mulher usou uma zeugma para expressar a ordem.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a mulher usou uma figura de pensamento para expressar sua opinião.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mulher usou uma onomatopeia para expulsar o cão.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a mulher usou uma redundância para reforçar a ordem dada ao animal.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mulher usou uma exclamação para enxotar o bichinho.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04 - “</w:t>
      </w:r>
      <w:proofErr w:type="gram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Saia para fora</w:t>
      </w:r>
      <w:proofErr w:type="gramEnd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Rex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!” O uso da vírgula está correto em todas as assertivas, exceto em: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cebola, a salsa e o pimentão são ótimos para preparar uma boa comida.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b) Olha, Fernanda, você poderia me comprar alguns pães.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Enquanto a professora escrevia, Fábio fazia suas gracinhas.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O bilhete, Rute o trazia no bolso da calça.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chuva veio tão forte, que destruiu todas as flores do jardim.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05 - “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Ela te en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x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otou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...” Com frequência palavras são grafadas erroneamente em textos e mensagens por apresentarem o mesmo fonema. Aponte a alternativa que utiliza pelo menos uma palavra utilizando incorretamente a letra em destaque: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caxumba – caixão - bruxa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enxerto – praxe - enxugar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mexilhão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enxumaçar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roxo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enxame – capixaba - almoxarifado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faxina – graxa - desleixo</w:t>
      </w:r>
    </w:p>
    <w:p w:rsidR="00991042" w:rsidRDefault="00991042" w:rsidP="0099104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Default="00991042" w:rsidP="00991042">
      <w:pPr>
        <w:jc w:val="both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991042" w:rsidRDefault="00991042" w:rsidP="009910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06 - Em uma caixa há 47 bolinhas, verdes e azuis. Se tivesse mais uma verde teria o dobro do número de bolinhas azuis.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bolinhas azuis 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caixa.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14.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15.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16.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17.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18.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técnico ao configurar o controle de entrada de um edifício por senha constatou que só poderia usar os algarismos 0, 1, 2, 4, 5, 6, 8, 9 e a senha deverá conter 4 algarismos distintos. Quantas senhas podem ser feitas?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1680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460.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360.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1520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840.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91042" w:rsidRDefault="00991042" w:rsidP="0099104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Os polinômios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.Qual é o produto da forma fatorada desses polinômios.</w:t>
      </w:r>
    </w:p>
    <w:p w:rsidR="00991042" w:rsidRDefault="00991042" w:rsidP="0099104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+16x+64)∙(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-16+64)</m:t>
        </m:r>
      </m:oMath>
    </w:p>
    <w:p w:rsidR="00991042" w:rsidRDefault="00991042" w:rsidP="0099104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991042" w:rsidRDefault="00991042" w:rsidP="0099104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(x+8)∙(x-8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991042" w:rsidRDefault="00991042" w:rsidP="0099104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∙x-8</m:t>
        </m:r>
      </m:oMath>
    </w:p>
    <w:p w:rsidR="00991042" w:rsidRDefault="00991042" w:rsidP="00991042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(e)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projetista desenha um triangulo em uma folha na proporção 1:100 e suas medidas perpendiculares medem 12cm e 16cm, esse desenho representa um terreno real e pretende-se cerca-lo com 6 fios de arame. Qual a metragem de arame a ser utilizado em metros?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300m.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50m.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288m.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133m.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212m.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Pretende-se construir uma piscina de forma retangular e que apresente as seguintes medidas 4,5m de largura por 6,8m de comprimento e com uma profundidade que varia de 1,2m a 2,0m. Que volume de água é necessário para encher totalmente essa piscina?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72,24m³.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34,34m³.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63,34m³.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48,96m³.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12,16m³.</w:t>
      </w:r>
    </w:p>
    <w:p w:rsidR="00991042" w:rsidRDefault="00991042" w:rsidP="0099104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91042" w:rsidRDefault="00991042" w:rsidP="009910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91042" w:rsidRDefault="00991042" w:rsidP="0099104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991042" w:rsidRPr="00991042" w:rsidRDefault="00991042" w:rsidP="00991042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 Política Nacional da Educação Especial na Perspectiva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da Educação Inclusiva orienta os sistemas de ensino a promover respostas às necessidades especiais garantindo, exceto:</w:t>
      </w:r>
    </w:p>
    <w:p w:rsidR="00991042" w:rsidRPr="00991042" w:rsidRDefault="00991042" w:rsidP="0099104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Articulação </w:t>
      </w: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intersetorial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na 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implementação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da politicas públicas;</w:t>
      </w:r>
    </w:p>
    <w:p w:rsidR="00991042" w:rsidRPr="00991042" w:rsidRDefault="00991042" w:rsidP="0099104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Atendimento educacional especializado;</w:t>
      </w:r>
    </w:p>
    <w:p w:rsidR="00991042" w:rsidRPr="00991042" w:rsidRDefault="00991042" w:rsidP="0099104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Continuidade da escolarização aos níveis mais elevados do ensino;</w:t>
      </w:r>
    </w:p>
    <w:p w:rsidR="00991042" w:rsidRPr="00440F12" w:rsidRDefault="00991042" w:rsidP="0099104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Transversalidade da educação especial desde o ensino fundamental até a educação superior;</w:t>
      </w:r>
    </w:p>
    <w:p w:rsidR="00991042" w:rsidRPr="00991042" w:rsidRDefault="00991042" w:rsidP="0099104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Acessibilidade urbanística, arquitetônica, nos mobiliários e equipamentos, nos transportes, na comunicação e informação;</w:t>
      </w:r>
    </w:p>
    <w:p w:rsidR="00991042" w:rsidRPr="00991042" w:rsidRDefault="00991042" w:rsidP="00991042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991042">
      <w:pPr>
        <w:spacing w:line="240" w:lineRule="auto"/>
        <w:ind w:left="284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12. </w:t>
      </w: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O Decreto nº 3.298, de Dezembro de 1999, artigo 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, considera pessoas portadoras de deficiência as que se enquadram nas seguintes categorias, exceto:</w:t>
      </w:r>
    </w:p>
    <w:p w:rsidR="00991042" w:rsidRPr="00991042" w:rsidRDefault="00991042" w:rsidP="009910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Perda parcial ou total das possibilidades auditivas sonoras.</w:t>
      </w:r>
    </w:p>
    <w:p w:rsidR="00991042" w:rsidRPr="00991042" w:rsidRDefault="00991042" w:rsidP="009910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Funcionamento intelectual significativamente inferior 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à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médio.</w:t>
      </w:r>
    </w:p>
    <w:p w:rsidR="00991042" w:rsidRPr="00440F12" w:rsidRDefault="00991042" w:rsidP="009910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Deformidades estéticas.</w:t>
      </w:r>
    </w:p>
    <w:p w:rsidR="00991042" w:rsidRPr="00991042" w:rsidRDefault="00991042" w:rsidP="009910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Acuidade visual igual ou menor que 20/200 no melhor olho.</w:t>
      </w:r>
    </w:p>
    <w:p w:rsidR="00991042" w:rsidRPr="00991042" w:rsidRDefault="00991042" w:rsidP="009910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Alteração completa ou parcial de um ou mais segmentos do corpo.</w:t>
      </w: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440F12" w:rsidRDefault="00991042" w:rsidP="00440F12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São contribuições do professor do Atendimento Educacional Especializado:</w:t>
      </w:r>
    </w:p>
    <w:p w:rsidR="00991042" w:rsidRPr="00991042" w:rsidRDefault="00991042" w:rsidP="0099104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Estabelecer parcerias com as áreas </w:t>
      </w: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intersetoriais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na elaboração de estratégias e na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disponibilização de recursos de acessibilidade.</w:t>
      </w:r>
    </w:p>
    <w:p w:rsidR="00991042" w:rsidRPr="00991042" w:rsidRDefault="00991042" w:rsidP="0099104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Ensinar e usar a tecnologia </w:t>
      </w: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assistiva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de forma a ampliar habilidades funcionais dos alunos.</w:t>
      </w:r>
    </w:p>
    <w:p w:rsidR="00991042" w:rsidRPr="00991042" w:rsidRDefault="00991042" w:rsidP="0099104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Organizar o tipo e o número de atendimento aos alunos na sala de recursos multifuncionais.</w:t>
      </w:r>
    </w:p>
    <w:p w:rsidR="00991042" w:rsidRPr="00991042" w:rsidRDefault="00991042" w:rsidP="0099104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Acompanhar a funcionalidade e a aplicabilidade dos recursos pedagógicos e da acessibilidade exclusivamente na sala de aula comum do ensino regular, bem como em outros ambientes da escola.</w:t>
      </w:r>
    </w:p>
    <w:p w:rsidR="00991042" w:rsidRPr="00991042" w:rsidRDefault="00991042" w:rsidP="0099104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Adotar e executar plano de atendimento Educacional Especializado.</w:t>
      </w:r>
    </w:p>
    <w:p w:rsidR="00991042" w:rsidRPr="00991042" w:rsidRDefault="00991042" w:rsidP="0099104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Estabelecer articulação com os professores de sala de aula comum.</w:t>
      </w:r>
    </w:p>
    <w:p w:rsidR="00991042" w:rsidRPr="00991042" w:rsidRDefault="00991042" w:rsidP="00991042">
      <w:pPr>
        <w:spacing w:line="240" w:lineRule="auto"/>
        <w:ind w:left="216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991042">
      <w:pPr>
        <w:spacing w:line="240" w:lineRule="auto"/>
        <w:ind w:left="216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Estão corretas as seguintes atribuições de acordo com a Resolução nº4 de outubro de 2009:</w:t>
      </w:r>
    </w:p>
    <w:p w:rsidR="00991042" w:rsidRPr="00440F12" w:rsidRDefault="00991042" w:rsidP="0099104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I, II, III e VI.</w:t>
      </w:r>
    </w:p>
    <w:p w:rsidR="00991042" w:rsidRPr="00991042" w:rsidRDefault="00991042" w:rsidP="0099104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I, IV, V e VI.</w:t>
      </w:r>
    </w:p>
    <w:p w:rsidR="00991042" w:rsidRPr="00991042" w:rsidRDefault="00991042" w:rsidP="0099104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II, III, IV e V.</w:t>
      </w:r>
    </w:p>
    <w:p w:rsidR="00991042" w:rsidRPr="00991042" w:rsidRDefault="00991042" w:rsidP="0099104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I, II, III e VI.</w:t>
      </w:r>
    </w:p>
    <w:p w:rsidR="00991042" w:rsidRPr="00991042" w:rsidRDefault="00991042" w:rsidP="0099104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Todas as alternativas estão corretas.</w:t>
      </w:r>
    </w:p>
    <w:p w:rsidR="00991042" w:rsidRPr="00991042" w:rsidRDefault="00991042" w:rsidP="00991042">
      <w:pPr>
        <w:spacing w:line="240" w:lineRule="auto"/>
        <w:ind w:left="288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440F12" w:rsidRDefault="00991042" w:rsidP="00440F12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A educação como direito de todos os brasileiros e dever do estado e da família deve ser norteado conforme a Constituição Federal, artigo 206, nos seguintes princípios, exceto:</w:t>
      </w:r>
    </w:p>
    <w:p w:rsidR="00991042" w:rsidRPr="00440F12" w:rsidRDefault="00991042" w:rsidP="0099104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Diferença de condições para o acesso e permanência na escola;</w:t>
      </w:r>
    </w:p>
    <w:p w:rsidR="00991042" w:rsidRPr="00991042" w:rsidRDefault="00991042" w:rsidP="0099104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Liberdade de aprender, ensinar e divulgar o pensamento;</w:t>
      </w:r>
    </w:p>
    <w:p w:rsidR="00991042" w:rsidRPr="00991042" w:rsidRDefault="00991042" w:rsidP="0099104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Ensino público e gestão democrática do ensino;</w:t>
      </w:r>
    </w:p>
    <w:p w:rsidR="00991042" w:rsidRPr="00991042" w:rsidRDefault="00991042" w:rsidP="0099104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Pluralismo de Ideias e concepções pedagógicas;</w:t>
      </w:r>
    </w:p>
    <w:p w:rsidR="00991042" w:rsidRPr="00991042" w:rsidRDefault="00991042" w:rsidP="0099104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Coexistência de instituições públicas e privadas;</w:t>
      </w: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440F12">
      <w:pPr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Marco na 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implementação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da Educação Inclusiva, reafirmando o compromisso com a Educação para Todos, reconhecendo a necessidade e urgência do </w:t>
      </w: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providenciamento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de educação para as crianças, jovens e adultos com necessidades educacionais especiais dentro do sistema regular de ensino:</w:t>
      </w:r>
    </w:p>
    <w:p w:rsidR="00991042" w:rsidRPr="00991042" w:rsidRDefault="00991042" w:rsidP="0099104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Declaração de </w:t>
      </w: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Jomtien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(1990).</w:t>
      </w:r>
    </w:p>
    <w:p w:rsidR="00991042" w:rsidRPr="00440F12" w:rsidRDefault="00991042" w:rsidP="0099104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Declaração de Salamanca (1994).</w:t>
      </w:r>
    </w:p>
    <w:p w:rsidR="00991042" w:rsidRPr="00991042" w:rsidRDefault="00991042" w:rsidP="0099104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Declaração de Incheon (2015).</w:t>
      </w:r>
    </w:p>
    <w:p w:rsidR="00991042" w:rsidRPr="00991042" w:rsidRDefault="00991042" w:rsidP="0099104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Declaração de Dakar (2000).</w:t>
      </w:r>
    </w:p>
    <w:p w:rsidR="00991042" w:rsidRPr="00991042" w:rsidRDefault="00991042" w:rsidP="0099104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Declaração Universal dos Direitos Humanos.</w:t>
      </w: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440F12">
      <w:pPr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Está de acordo com o Estatuto da Criança e do Adolescente, Lei nº 8.069/1990, os seguintes direitos aos Portadores de Deficiência:</w:t>
      </w:r>
    </w:p>
    <w:p w:rsidR="00991042" w:rsidRPr="00991042" w:rsidRDefault="00991042" w:rsidP="0099104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Trabalho protegido;</w:t>
      </w:r>
    </w:p>
    <w:p w:rsidR="00991042" w:rsidRPr="00991042" w:rsidRDefault="00991042" w:rsidP="0099104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Atendimento educacional normal aos demais educandos, preferencialmente na rede regular de ensino;</w:t>
      </w:r>
    </w:p>
    <w:p w:rsidR="00991042" w:rsidRPr="00991042" w:rsidRDefault="00991042" w:rsidP="0099104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 criança e adolescente receberão atendimento especializado;</w:t>
      </w:r>
    </w:p>
    <w:p w:rsidR="00991042" w:rsidRPr="00991042" w:rsidRDefault="00991042" w:rsidP="0099104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Atendimento integral à saúde da criança e do adolescente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sem intervenção de Sistema de Saúde;</w:t>
      </w: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Estão corretas as afirmativas:</w:t>
      </w:r>
    </w:p>
    <w:p w:rsidR="00991042" w:rsidRPr="00991042" w:rsidRDefault="00991042" w:rsidP="0099104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I, III e IV.</w:t>
      </w:r>
    </w:p>
    <w:p w:rsidR="00991042" w:rsidRPr="00991042" w:rsidRDefault="00991042" w:rsidP="00991042">
      <w:pPr>
        <w:numPr>
          <w:ilvl w:val="0"/>
          <w:numId w:val="11"/>
        </w:numPr>
        <w:tabs>
          <w:tab w:val="left" w:pos="3969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II, III e IV.</w:t>
      </w:r>
    </w:p>
    <w:p w:rsidR="00991042" w:rsidRPr="00991042" w:rsidRDefault="00991042" w:rsidP="00991042">
      <w:pPr>
        <w:numPr>
          <w:ilvl w:val="0"/>
          <w:numId w:val="11"/>
        </w:numPr>
        <w:tabs>
          <w:tab w:val="left" w:pos="3969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II e IV.</w:t>
      </w:r>
    </w:p>
    <w:p w:rsidR="00991042" w:rsidRPr="00991042" w:rsidRDefault="00991042" w:rsidP="00991042">
      <w:pPr>
        <w:numPr>
          <w:ilvl w:val="0"/>
          <w:numId w:val="11"/>
        </w:numPr>
        <w:tabs>
          <w:tab w:val="left" w:pos="3969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II e III.</w:t>
      </w:r>
    </w:p>
    <w:p w:rsidR="00991042" w:rsidRPr="00440F12" w:rsidRDefault="00991042" w:rsidP="00991042">
      <w:pPr>
        <w:numPr>
          <w:ilvl w:val="0"/>
          <w:numId w:val="11"/>
        </w:numPr>
        <w:tabs>
          <w:tab w:val="left" w:pos="3969"/>
        </w:tabs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I e III.</w:t>
      </w:r>
    </w:p>
    <w:p w:rsidR="00991042" w:rsidRPr="00991042" w:rsidRDefault="00991042" w:rsidP="00991042">
      <w:pPr>
        <w:tabs>
          <w:tab w:val="left" w:pos="3969"/>
        </w:tabs>
        <w:spacing w:line="240" w:lineRule="auto"/>
        <w:ind w:left="216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440F12">
      <w:pPr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Os alunos com dificuldades de comunicação e sinalização diferenciados dos demais alunos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, devem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ser adotados formas diferenciadas de ensino e adaptações de acesso ao currículo como:</w:t>
      </w:r>
    </w:p>
    <w:p w:rsidR="00991042" w:rsidRPr="00991042" w:rsidRDefault="00991042" w:rsidP="0099104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O sistema de ensino deve se organizar para que haja condições de oferecer aos alunos surdos o ensino da língua brasileira de sinais e em língua portuguesa.</w:t>
      </w:r>
    </w:p>
    <w:p w:rsidR="00991042" w:rsidRPr="00991042" w:rsidRDefault="00991042" w:rsidP="0099104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Aos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surdos-cegos, que seja oferecido o ensino em língua de sinais digital, </w:t>
      </w: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tadoma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e outras técnicas.</w:t>
      </w:r>
    </w:p>
    <w:p w:rsidR="00991042" w:rsidRPr="00991042" w:rsidRDefault="00991042" w:rsidP="0099104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O sistema deve promover aos alunos cegos o material didático inclusive provas e o livro didático em Braille.</w:t>
      </w:r>
    </w:p>
    <w:p w:rsidR="00991042" w:rsidRPr="00991042" w:rsidRDefault="00991042" w:rsidP="0099104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Aos alunos com visão subnormal, o sistema deverá oferecer auxílios ópticos necessários, bem como material didático em caráteres ampliados.</w:t>
      </w:r>
    </w:p>
    <w:p w:rsidR="00991042" w:rsidRPr="00440F12" w:rsidRDefault="00991042" w:rsidP="0099104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Todas as alternativas estão corretas.</w:t>
      </w: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440F12">
      <w:pPr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Para atendimento educacional aos superdotados não é necessário:</w:t>
      </w:r>
    </w:p>
    <w:p w:rsidR="00991042" w:rsidRPr="00991042" w:rsidRDefault="00991042" w:rsidP="00991042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Incluir o atendimento nos projetos pedagógicos e regimentos escolares.</w:t>
      </w:r>
    </w:p>
    <w:p w:rsidR="00991042" w:rsidRPr="00991042" w:rsidRDefault="00991042" w:rsidP="00991042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Organizar os procedimentos de avaliação pedagógica e psicológica.</w:t>
      </w:r>
    </w:p>
    <w:p w:rsidR="00991042" w:rsidRPr="00440F12" w:rsidRDefault="00991042" w:rsidP="00991042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Manter o currículo adotado aos demais alunos.</w:t>
      </w:r>
    </w:p>
    <w:p w:rsidR="00991042" w:rsidRPr="00991042" w:rsidRDefault="00991042" w:rsidP="00991042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Prever a possibilidade de matrícula do aluno em série compatível com seu desempenho escolar.</w:t>
      </w:r>
    </w:p>
    <w:p w:rsidR="00991042" w:rsidRPr="00991042" w:rsidRDefault="00991042" w:rsidP="00991042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Incluir, no histórico escolar, as especificações cabíveis.</w:t>
      </w: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440F12">
      <w:pPr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O atendimento escolar especializado pode ocorrer fora do espaço escolar, em classe hospitalar e ambiente </w:t>
      </w:r>
      <w:proofErr w:type="gram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domiciliar</w:t>
      </w:r>
      <w:proofErr w:type="gram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, com objetivo:</w:t>
      </w:r>
    </w:p>
    <w:p w:rsidR="00991042" w:rsidRPr="00991042" w:rsidRDefault="00991042" w:rsidP="0099104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Reforçar a aprendizagem de alunos matriculados em Escola de Educação Básica contribuindo para seu melhor desenvolvimento na escola.</w:t>
      </w:r>
    </w:p>
    <w:p w:rsidR="00991042" w:rsidRPr="00440F12" w:rsidRDefault="00991042" w:rsidP="0099104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 xml:space="preserve">Dar continuidade ao processo de desenvolvimento e aprendizagem de alunos matriculados em Escolas de Educação Básica, contribuindo para seu retorno e reintegração ao grupo escolar. Desenvolver currículo </w:t>
      </w:r>
      <w:proofErr w:type="gramStart"/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flexibilizado</w:t>
      </w:r>
      <w:proofErr w:type="gramEnd"/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 xml:space="preserve"> a crianças, adolescentes e adultos, não matriculados no sistema local facilitando seu posterior acesso a escola regular.</w:t>
      </w:r>
    </w:p>
    <w:p w:rsidR="00991042" w:rsidRPr="00991042" w:rsidRDefault="00991042" w:rsidP="0099104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Desenvolver trabalho pedagógico para dar continuidade ao processo de desenvolvimento e aprendizagem sem interesse de retorno e reintegração ao grupo escolar;</w:t>
      </w:r>
    </w:p>
    <w:p w:rsidR="00991042" w:rsidRPr="00991042" w:rsidRDefault="00991042" w:rsidP="0099104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Desenvolver currículo flexível e adequado a crianças, adolescentes e adultos não sendo necessário matricula na escola regular.</w:t>
      </w:r>
    </w:p>
    <w:p w:rsidR="00991042" w:rsidRPr="00991042" w:rsidRDefault="00991042" w:rsidP="0099104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Nenhuma alternativa está correta.</w:t>
      </w:r>
    </w:p>
    <w:p w:rsidR="00991042" w:rsidRPr="00991042" w:rsidRDefault="00991042" w:rsidP="00991042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91042" w:rsidRPr="00991042" w:rsidRDefault="00991042" w:rsidP="00440F12">
      <w:pPr>
        <w:numPr>
          <w:ilvl w:val="0"/>
          <w:numId w:val="15"/>
        </w:num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Pensador, biólogo russo, defende a não interferência de fatores ambientais e hereditários nas capacidades de raciocínio. Acredita que a cada estágio completado, o individuo adquire novas capacidades e constrói seu próprio conhecimento a partir de suas descobertas, em contato com o mundo e os objetos.</w:t>
      </w:r>
    </w:p>
    <w:p w:rsidR="00991042" w:rsidRPr="00991042" w:rsidRDefault="00991042" w:rsidP="0099104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Lev Vygotsky</w:t>
      </w:r>
    </w:p>
    <w:p w:rsidR="00991042" w:rsidRPr="00991042" w:rsidRDefault="00991042" w:rsidP="0099104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Burrhus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Frederic</w:t>
      </w:r>
      <w:proofErr w:type="spellEnd"/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 xml:space="preserve"> Skinner</w:t>
      </w:r>
    </w:p>
    <w:p w:rsidR="00991042" w:rsidRPr="00440F12" w:rsidRDefault="00991042" w:rsidP="0099104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 xml:space="preserve">Henri </w:t>
      </w:r>
      <w:proofErr w:type="spellStart"/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Wallon</w:t>
      </w:r>
      <w:proofErr w:type="spellEnd"/>
    </w:p>
    <w:p w:rsidR="00991042" w:rsidRPr="00440F12" w:rsidRDefault="00991042" w:rsidP="0099104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40F12">
        <w:rPr>
          <w:rFonts w:ascii="Times New Roman" w:eastAsiaTheme="minorHAnsi" w:hAnsi="Times New Roman"/>
          <w:sz w:val="24"/>
          <w:szCs w:val="24"/>
          <w:lang w:eastAsia="en-US"/>
        </w:rPr>
        <w:t>Jean Piaget</w:t>
      </w:r>
    </w:p>
    <w:p w:rsidR="00991042" w:rsidRPr="00991042" w:rsidRDefault="00991042" w:rsidP="0099104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1042">
        <w:rPr>
          <w:rFonts w:ascii="Times New Roman" w:eastAsiaTheme="minorHAnsi" w:hAnsi="Times New Roman"/>
          <w:sz w:val="24"/>
          <w:szCs w:val="24"/>
          <w:lang w:eastAsia="en-US"/>
        </w:rPr>
        <w:t>João Pestalozzi</w:t>
      </w:r>
    </w:p>
    <w:p w:rsidR="00973160" w:rsidRDefault="000A1F22"/>
    <w:sectPr w:rsidR="00973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D6973"/>
    <w:multiLevelType w:val="hybridMultilevel"/>
    <w:tmpl w:val="73A0650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97C4D"/>
    <w:multiLevelType w:val="hybridMultilevel"/>
    <w:tmpl w:val="AE46201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9351A2"/>
    <w:multiLevelType w:val="hybridMultilevel"/>
    <w:tmpl w:val="B922D07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FE62CB"/>
    <w:multiLevelType w:val="hybridMultilevel"/>
    <w:tmpl w:val="A894A92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92FF0"/>
    <w:multiLevelType w:val="hybridMultilevel"/>
    <w:tmpl w:val="ADDE906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B36AF"/>
    <w:multiLevelType w:val="hybridMultilevel"/>
    <w:tmpl w:val="1D8A9E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212A7"/>
    <w:multiLevelType w:val="hybridMultilevel"/>
    <w:tmpl w:val="9FF6083E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B25911"/>
    <w:multiLevelType w:val="hybridMultilevel"/>
    <w:tmpl w:val="47DC4B68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B4B2240"/>
    <w:multiLevelType w:val="hybridMultilevel"/>
    <w:tmpl w:val="6C4C08C2"/>
    <w:lvl w:ilvl="0" w:tplc="D122A59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9A7D8D"/>
    <w:multiLevelType w:val="hybridMultilevel"/>
    <w:tmpl w:val="8BF23C00"/>
    <w:lvl w:ilvl="0" w:tplc="EA265580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1E74CE"/>
    <w:multiLevelType w:val="hybridMultilevel"/>
    <w:tmpl w:val="C020396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4754A2"/>
    <w:multiLevelType w:val="hybridMultilevel"/>
    <w:tmpl w:val="01AECA0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006C89"/>
    <w:multiLevelType w:val="hybridMultilevel"/>
    <w:tmpl w:val="370E66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315B44"/>
    <w:multiLevelType w:val="hybridMultilevel"/>
    <w:tmpl w:val="F946B2C0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A503388"/>
    <w:multiLevelType w:val="hybridMultilevel"/>
    <w:tmpl w:val="4A5ABC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2"/>
    <w:rsid w:val="000A1F22"/>
    <w:rsid w:val="00365AD1"/>
    <w:rsid w:val="00440F12"/>
    <w:rsid w:val="00991042"/>
    <w:rsid w:val="00BD4C71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4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91042"/>
    <w:rPr>
      <w:color w:val="0000FF"/>
      <w:u w:val="single"/>
    </w:rPr>
  </w:style>
  <w:style w:type="paragraph" w:styleId="SemEspaamento">
    <w:name w:val="No Spacing"/>
    <w:uiPriority w:val="1"/>
    <w:qFormat/>
    <w:rsid w:val="00991042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991042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910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04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4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91042"/>
    <w:rPr>
      <w:color w:val="0000FF"/>
      <w:u w:val="single"/>
    </w:rPr>
  </w:style>
  <w:style w:type="paragraph" w:styleId="SemEspaamento">
    <w:name w:val="No Spacing"/>
    <w:uiPriority w:val="1"/>
    <w:qFormat/>
    <w:rsid w:val="00991042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991042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9910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04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2019-01-24T11:33:00Z</dcterms:created>
  <dcterms:modified xsi:type="dcterms:W3CDTF">2019-01-24T11:33:00Z</dcterms:modified>
</cp:coreProperties>
</file>